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8E57" w14:textId="0345EF23" w:rsidR="00333C8F" w:rsidRDefault="00333C8F"/>
    <w:p w14:paraId="2CF3C14C" w14:textId="51D3EA9D" w:rsidR="00ED6244" w:rsidRPr="00AC1593" w:rsidRDefault="0027533B">
      <w:pPr>
        <w:rPr>
          <w:rFonts w:cstheme="minorHAnsi"/>
        </w:rPr>
      </w:pPr>
      <w:r w:rsidRPr="00AC1593">
        <w:rPr>
          <w:rFonts w:cstheme="minorHAnsi"/>
        </w:rPr>
        <w:t>TOE considerations during COVID-19 Pandemic</w:t>
      </w:r>
      <w:r w:rsidR="0067529B" w:rsidRPr="00AC1593">
        <w:rPr>
          <w:rFonts w:cstheme="minorHAnsi"/>
        </w:rPr>
        <w:t xml:space="preserve"> – SAB and other causes of infective endocarditis</w:t>
      </w:r>
    </w:p>
    <w:p w14:paraId="28BAA84A" w14:textId="3E7C5F33" w:rsidR="0098717D" w:rsidRPr="00AC1593" w:rsidRDefault="0027533B">
      <w:pPr>
        <w:rPr>
          <w:rFonts w:cstheme="minorHAnsi"/>
        </w:rPr>
      </w:pPr>
      <w:r w:rsidRPr="00AC1593">
        <w:rPr>
          <w:rFonts w:cstheme="minorHAnsi"/>
        </w:rPr>
        <w:t>Prepared by Dr. Kimberly Oman</w:t>
      </w:r>
      <w:r w:rsidR="0098717D" w:rsidRPr="00AC1593">
        <w:rPr>
          <w:rFonts w:cstheme="minorHAnsi"/>
        </w:rPr>
        <w:t xml:space="preserve">   2020-3-27</w:t>
      </w:r>
    </w:p>
    <w:p w14:paraId="445CFBAC" w14:textId="13776D5B" w:rsidR="003106EF" w:rsidRPr="00AC1593" w:rsidRDefault="003106EF">
      <w:pPr>
        <w:rPr>
          <w:rFonts w:cstheme="minorHAnsi"/>
        </w:rPr>
      </w:pPr>
    </w:p>
    <w:p w14:paraId="67AAF7ED" w14:textId="298484BC" w:rsidR="00E77848" w:rsidRPr="00AC1593" w:rsidRDefault="009C13F7">
      <w:pPr>
        <w:rPr>
          <w:rFonts w:eastAsia="Times New Roman" w:cstheme="minorHAnsi"/>
          <w:lang w:val="en-US" w:eastAsia="en-AU"/>
        </w:rPr>
      </w:pPr>
      <w:r w:rsidRPr="00AC1593">
        <w:rPr>
          <w:rFonts w:cstheme="minorHAnsi"/>
        </w:rPr>
        <w:t xml:space="preserve">At TUH, </w:t>
      </w:r>
      <w:r w:rsidR="00E77848" w:rsidRPr="00AC1593">
        <w:rPr>
          <w:rFonts w:cstheme="minorHAnsi"/>
        </w:rPr>
        <w:t xml:space="preserve">TOE is </w:t>
      </w:r>
      <w:r w:rsidR="005B2681" w:rsidRPr="00AC1593">
        <w:rPr>
          <w:rFonts w:cstheme="minorHAnsi"/>
        </w:rPr>
        <w:t xml:space="preserve">currently </w:t>
      </w:r>
      <w:r w:rsidR="00E77848" w:rsidRPr="00AC1593">
        <w:rPr>
          <w:rFonts w:cstheme="minorHAnsi"/>
        </w:rPr>
        <w:t xml:space="preserve">used </w:t>
      </w:r>
      <w:r w:rsidR="005B2681" w:rsidRPr="00AC1593">
        <w:rPr>
          <w:rFonts w:cstheme="minorHAnsi"/>
        </w:rPr>
        <w:t>in many patients with Staphylococcus aureus bacter</w:t>
      </w:r>
      <w:r w:rsidR="00233AB7" w:rsidRPr="00AC1593">
        <w:rPr>
          <w:rFonts w:cstheme="minorHAnsi"/>
        </w:rPr>
        <w:t>a</w:t>
      </w:r>
      <w:r w:rsidR="005B2681" w:rsidRPr="00AC1593">
        <w:rPr>
          <w:rFonts w:cstheme="minorHAnsi"/>
        </w:rPr>
        <w:t xml:space="preserve">emia </w:t>
      </w:r>
      <w:r w:rsidR="00DC51E2" w:rsidRPr="00AC1593">
        <w:rPr>
          <w:rFonts w:cstheme="minorHAnsi"/>
        </w:rPr>
        <w:t>to exclude I</w:t>
      </w:r>
      <w:r w:rsidR="006C7AA7" w:rsidRPr="00AC1593">
        <w:rPr>
          <w:rFonts w:cstheme="minorHAnsi"/>
        </w:rPr>
        <w:t xml:space="preserve">E </w:t>
      </w:r>
      <w:r w:rsidR="00A50D0E" w:rsidRPr="00AC1593">
        <w:rPr>
          <w:rFonts w:cstheme="minorHAnsi"/>
        </w:rPr>
        <w:t>(</w:t>
      </w:r>
      <w:r w:rsidR="00A74F61" w:rsidRPr="00AC1593">
        <w:rPr>
          <w:rFonts w:cstheme="minorHAnsi"/>
        </w:rPr>
        <w:t>including</w:t>
      </w:r>
      <w:r w:rsidR="00A50D0E" w:rsidRPr="00AC1593">
        <w:rPr>
          <w:rFonts w:cstheme="minorHAnsi"/>
        </w:rPr>
        <w:t xml:space="preserve"> cases where at least 4 weeks of IV antibiotics is already planned)</w:t>
      </w:r>
      <w:r w:rsidR="0080703F" w:rsidRPr="00AC1593">
        <w:rPr>
          <w:rFonts w:cstheme="minorHAnsi"/>
        </w:rPr>
        <w:t xml:space="preserve">.  </w:t>
      </w:r>
      <w:r w:rsidR="006C7AA7" w:rsidRPr="00AC1593">
        <w:rPr>
          <w:rFonts w:cstheme="minorHAnsi"/>
        </w:rPr>
        <w:t xml:space="preserve"> </w:t>
      </w:r>
      <w:r w:rsidR="0080703F" w:rsidRPr="00AC1593">
        <w:rPr>
          <w:rFonts w:cstheme="minorHAnsi"/>
        </w:rPr>
        <w:t>I</w:t>
      </w:r>
      <w:r w:rsidR="006C7AA7" w:rsidRPr="00AC1593">
        <w:rPr>
          <w:rFonts w:cstheme="minorHAnsi"/>
        </w:rPr>
        <w:t>n some cases</w:t>
      </w:r>
      <w:r w:rsidR="0080703F" w:rsidRPr="00AC1593">
        <w:rPr>
          <w:rFonts w:cstheme="minorHAnsi"/>
        </w:rPr>
        <w:t>, TOE</w:t>
      </w:r>
      <w:r w:rsidR="00870610" w:rsidRPr="00AC1593">
        <w:rPr>
          <w:rFonts w:cstheme="minorHAnsi"/>
        </w:rPr>
        <w:t xml:space="preserve"> is used</w:t>
      </w:r>
      <w:r w:rsidR="006C7AA7" w:rsidRPr="00AC1593">
        <w:rPr>
          <w:rFonts w:cstheme="minorHAnsi"/>
        </w:rPr>
        <w:t xml:space="preserve"> </w:t>
      </w:r>
      <w:r w:rsidR="00E77848" w:rsidRPr="00AC1593">
        <w:rPr>
          <w:rFonts w:cstheme="minorHAnsi"/>
        </w:rPr>
        <w:t xml:space="preserve">to </w:t>
      </w:r>
      <w:r w:rsidR="00D852C2" w:rsidRPr="00AC1593">
        <w:rPr>
          <w:rFonts w:cstheme="minorHAnsi"/>
        </w:rPr>
        <w:t xml:space="preserve">help determine </w:t>
      </w:r>
      <w:r w:rsidR="0001152D" w:rsidRPr="00AC1593">
        <w:rPr>
          <w:rFonts w:cstheme="minorHAnsi"/>
        </w:rPr>
        <w:t>whether</w:t>
      </w:r>
      <w:r w:rsidR="00D852C2" w:rsidRPr="00AC1593">
        <w:rPr>
          <w:rFonts w:cstheme="minorHAnsi"/>
        </w:rPr>
        <w:t xml:space="preserve"> a patient has uncomplicated IE </w:t>
      </w:r>
      <w:r w:rsidR="00233AB7" w:rsidRPr="00AC1593">
        <w:rPr>
          <w:rFonts w:cstheme="minorHAnsi"/>
        </w:rPr>
        <w:t xml:space="preserve">and </w:t>
      </w:r>
      <w:r w:rsidR="00D852C2" w:rsidRPr="00AC1593">
        <w:rPr>
          <w:rFonts w:cstheme="minorHAnsi"/>
        </w:rPr>
        <w:t>can be treated for 2 weeks</w:t>
      </w:r>
      <w:r w:rsidR="00A50D0E" w:rsidRPr="00AC1593">
        <w:rPr>
          <w:rFonts w:cstheme="minorHAnsi"/>
        </w:rPr>
        <w:t xml:space="preserve"> (see</w:t>
      </w:r>
      <w:r w:rsidR="001676DD" w:rsidRPr="00AC1593">
        <w:rPr>
          <w:rFonts w:cstheme="minorHAnsi"/>
        </w:rPr>
        <w:t xml:space="preserve"> </w:t>
      </w:r>
      <w:r w:rsidR="00932BEC" w:rsidRPr="00AC1593">
        <w:rPr>
          <w:rFonts w:cstheme="minorHAnsi"/>
        </w:rPr>
        <w:t>UTD</w:t>
      </w:r>
      <w:r w:rsidR="00A50D0E" w:rsidRPr="00AC1593">
        <w:rPr>
          <w:rFonts w:cstheme="minorHAnsi"/>
        </w:rPr>
        <w:t xml:space="preserve"> </w:t>
      </w:r>
      <w:r w:rsidR="00932BEC" w:rsidRPr="00AC1593">
        <w:rPr>
          <w:rFonts w:cstheme="minorHAnsi"/>
        </w:rPr>
        <w:t>criteria for 2 weeks treatment below*)</w:t>
      </w:r>
      <w:r w:rsidR="00DC51E2" w:rsidRPr="00AC1593">
        <w:rPr>
          <w:rFonts w:cstheme="minorHAnsi"/>
        </w:rPr>
        <w:t xml:space="preserve">.  </w:t>
      </w:r>
      <w:r w:rsidR="00986612" w:rsidRPr="00AC1593">
        <w:rPr>
          <w:rFonts w:eastAsia="Times New Roman" w:cstheme="minorHAnsi"/>
          <w:lang w:val="en-US" w:eastAsia="en-AU"/>
        </w:rPr>
        <w:t xml:space="preserve">With the current </w:t>
      </w:r>
      <w:r w:rsidR="0001152D" w:rsidRPr="00AC1593">
        <w:rPr>
          <w:rFonts w:eastAsia="Times New Roman" w:cstheme="minorHAnsi"/>
          <w:lang w:val="en-US" w:eastAsia="en-AU"/>
        </w:rPr>
        <w:t xml:space="preserve">COVID-19 </w:t>
      </w:r>
      <w:r w:rsidR="00986612" w:rsidRPr="00AC1593">
        <w:rPr>
          <w:rFonts w:eastAsia="Times New Roman" w:cstheme="minorHAnsi"/>
          <w:lang w:val="en-US" w:eastAsia="en-AU"/>
        </w:rPr>
        <w:t xml:space="preserve">pandemic, however, the situation is unpredictable, workload is likely to be very heavy, and </w:t>
      </w:r>
      <w:r w:rsidR="00A74F61" w:rsidRPr="00AC1593">
        <w:rPr>
          <w:rFonts w:eastAsia="Times New Roman" w:cstheme="minorHAnsi"/>
          <w:lang w:val="en-US" w:eastAsia="en-AU"/>
        </w:rPr>
        <w:t xml:space="preserve">required </w:t>
      </w:r>
      <w:r w:rsidR="00986612" w:rsidRPr="00AC1593">
        <w:rPr>
          <w:rFonts w:eastAsia="Times New Roman" w:cstheme="minorHAnsi"/>
          <w:lang w:val="en-US" w:eastAsia="en-AU"/>
        </w:rPr>
        <w:t xml:space="preserve">PPE may be in short supply.  </w:t>
      </w:r>
      <w:r w:rsidR="0001152D" w:rsidRPr="00AC1593">
        <w:rPr>
          <w:rFonts w:eastAsia="Times New Roman" w:cstheme="minorHAnsi"/>
          <w:lang w:val="en-US" w:eastAsia="en-AU"/>
        </w:rPr>
        <w:t>We need to determine</w:t>
      </w:r>
      <w:r w:rsidR="00DA3319" w:rsidRPr="00AC1593">
        <w:rPr>
          <w:rFonts w:eastAsia="Times New Roman" w:cstheme="minorHAnsi"/>
          <w:lang w:val="en-US" w:eastAsia="en-AU"/>
        </w:rPr>
        <w:t xml:space="preserve"> whether the current literature </w:t>
      </w:r>
      <w:r w:rsidR="009A2E7C" w:rsidRPr="00AC1593">
        <w:rPr>
          <w:rFonts w:eastAsia="Times New Roman" w:cstheme="minorHAnsi"/>
          <w:lang w:val="en-US" w:eastAsia="en-AU"/>
        </w:rPr>
        <w:t>supports foregoing TOE in lower risk circumstances, and we need to anticip</w:t>
      </w:r>
      <w:r w:rsidR="00062FAB" w:rsidRPr="00AC1593">
        <w:rPr>
          <w:rFonts w:eastAsia="Times New Roman" w:cstheme="minorHAnsi"/>
          <w:lang w:val="en-US" w:eastAsia="en-AU"/>
        </w:rPr>
        <w:t xml:space="preserve">ate a situation where </w:t>
      </w:r>
      <w:r w:rsidR="00D56E89" w:rsidRPr="00AC1593">
        <w:rPr>
          <w:rFonts w:eastAsia="Times New Roman" w:cstheme="minorHAnsi"/>
          <w:lang w:val="en-US" w:eastAsia="en-AU"/>
        </w:rPr>
        <w:t xml:space="preserve">our workforce demands may not support TOE in </w:t>
      </w:r>
      <w:r w:rsidR="00870610" w:rsidRPr="00AC1593">
        <w:rPr>
          <w:rFonts w:eastAsia="Times New Roman" w:cstheme="minorHAnsi"/>
          <w:lang w:val="en-US" w:eastAsia="en-AU"/>
        </w:rPr>
        <w:t>some</w:t>
      </w:r>
      <w:r w:rsidR="00D56E89" w:rsidRPr="00AC1593">
        <w:rPr>
          <w:rFonts w:eastAsia="Times New Roman" w:cstheme="minorHAnsi"/>
          <w:lang w:val="en-US" w:eastAsia="en-AU"/>
        </w:rPr>
        <w:t xml:space="preserve"> </w:t>
      </w:r>
      <w:r w:rsidR="00BE53DB" w:rsidRPr="00AC1593">
        <w:rPr>
          <w:rFonts w:eastAsia="Times New Roman" w:cstheme="minorHAnsi"/>
          <w:lang w:val="en-US" w:eastAsia="en-AU"/>
        </w:rPr>
        <w:t>higher risk cases.</w:t>
      </w:r>
    </w:p>
    <w:p w14:paraId="60946A7A" w14:textId="666CD5FE" w:rsidR="000D0311" w:rsidRPr="00AC1593" w:rsidRDefault="0040500C" w:rsidP="00AA023C">
      <w:pPr>
        <w:spacing w:before="216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>UTD states that it</w:t>
      </w:r>
      <w:r w:rsidR="000D0311" w:rsidRPr="00ED6244">
        <w:rPr>
          <w:rFonts w:eastAsia="Times New Roman" w:cstheme="minorHAnsi"/>
          <w:lang w:val="en-US" w:eastAsia="en-AU"/>
        </w:rPr>
        <w:t xml:space="preserve"> </w:t>
      </w:r>
      <w:r w:rsidR="0069186C" w:rsidRPr="00AC1593">
        <w:rPr>
          <w:rFonts w:eastAsia="Times New Roman" w:cstheme="minorHAnsi"/>
          <w:lang w:val="en-US" w:eastAsia="en-AU"/>
        </w:rPr>
        <w:t>“</w:t>
      </w:r>
      <w:r w:rsidR="000D0311" w:rsidRPr="00673A9C">
        <w:rPr>
          <w:rFonts w:eastAsia="Times New Roman" w:cstheme="minorHAnsi"/>
          <w:b/>
          <w:lang w:val="en-US" w:eastAsia="en-AU"/>
        </w:rPr>
        <w:t>may be reasonable to forgo T</w:t>
      </w:r>
      <w:r w:rsidR="002028BA" w:rsidRPr="00673A9C">
        <w:rPr>
          <w:rFonts w:eastAsia="Times New Roman" w:cstheme="minorHAnsi"/>
          <w:b/>
          <w:lang w:val="en-US" w:eastAsia="en-AU"/>
        </w:rPr>
        <w:t>O</w:t>
      </w:r>
      <w:r w:rsidR="000D0311" w:rsidRPr="00673A9C">
        <w:rPr>
          <w:rFonts w:eastAsia="Times New Roman" w:cstheme="minorHAnsi"/>
          <w:b/>
          <w:lang w:val="en-US" w:eastAsia="en-AU"/>
        </w:rPr>
        <w:t>E for circumstances in which all of the following conditions are met</w:t>
      </w:r>
      <w:r w:rsidR="0069186C" w:rsidRPr="00AC1593">
        <w:rPr>
          <w:rFonts w:eastAsia="Times New Roman" w:cstheme="minorHAnsi"/>
          <w:lang w:val="en-US" w:eastAsia="en-AU"/>
        </w:rPr>
        <w:t>”</w:t>
      </w:r>
      <w:r w:rsidRPr="00AC1593">
        <w:rPr>
          <w:rFonts w:eastAsia="Times New Roman" w:cstheme="minorHAnsi"/>
          <w:lang w:val="en-US" w:eastAsia="en-AU"/>
        </w:rPr>
        <w:t>.</w:t>
      </w:r>
      <w:r w:rsidR="001676DD" w:rsidRPr="00AC1593">
        <w:rPr>
          <w:rFonts w:eastAsia="Times New Roman" w:cstheme="minorHAnsi"/>
          <w:lang w:val="en-US" w:eastAsia="en-AU"/>
        </w:rPr>
        <w:t xml:space="preserve">  </w:t>
      </w:r>
      <w:r w:rsidR="001676DD" w:rsidRPr="00AC1593">
        <w:rPr>
          <w:rFonts w:cstheme="minorHAnsi"/>
        </w:rPr>
        <w:t xml:space="preserve">During the COVID-19 outbreak, </w:t>
      </w:r>
      <w:r w:rsidR="008E4A4E" w:rsidRPr="00AC1593">
        <w:rPr>
          <w:rFonts w:cstheme="minorHAnsi"/>
        </w:rPr>
        <w:t>we should consider</w:t>
      </w:r>
      <w:r w:rsidR="00197152" w:rsidRPr="00AC1593">
        <w:rPr>
          <w:rFonts w:cstheme="minorHAnsi"/>
        </w:rPr>
        <w:t xml:space="preserve"> foregoing TOE for </w:t>
      </w:r>
      <w:r w:rsidR="004071C4" w:rsidRPr="00AC1593">
        <w:rPr>
          <w:rFonts w:cstheme="minorHAnsi"/>
        </w:rPr>
        <w:t>the following:</w:t>
      </w:r>
      <w:r w:rsidR="008E4A4E" w:rsidRPr="00AC1593">
        <w:rPr>
          <w:rFonts w:cstheme="minorHAnsi"/>
        </w:rPr>
        <w:t xml:space="preserve"> </w:t>
      </w:r>
    </w:p>
    <w:p w14:paraId="38C5C461" w14:textId="77777777" w:rsidR="000D0311" w:rsidRPr="00ED6244" w:rsidRDefault="000D0311" w:rsidP="000D0311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●Nosocomial or health care-associated acquisition of bacteremia</w:t>
      </w:r>
    </w:p>
    <w:p w14:paraId="160B92F6" w14:textId="77777777" w:rsidR="000D0311" w:rsidRPr="00ED6244" w:rsidRDefault="000D0311" w:rsidP="000D0311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●Sterile follow-up blood cultures within four days after the initial positive culture</w:t>
      </w:r>
    </w:p>
    <w:p w14:paraId="5511930D" w14:textId="77777777" w:rsidR="000D0311" w:rsidRPr="00ED6244" w:rsidRDefault="000D0311" w:rsidP="000D0311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●No permanent intracardiac device</w:t>
      </w:r>
    </w:p>
    <w:p w14:paraId="1E432F98" w14:textId="77777777" w:rsidR="000D0311" w:rsidRPr="00ED6244" w:rsidRDefault="000D0311" w:rsidP="000D0311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●No hemodialysis dependence</w:t>
      </w:r>
    </w:p>
    <w:p w14:paraId="128593D7" w14:textId="77777777" w:rsidR="000D0311" w:rsidRPr="00ED6244" w:rsidRDefault="000D0311" w:rsidP="000D0311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●No clinical signs of endocarditis or secondary foci of infection</w:t>
      </w:r>
    </w:p>
    <w:p w14:paraId="29856CBC" w14:textId="77777777" w:rsidR="000D0311" w:rsidRPr="00ED6244" w:rsidRDefault="000D0311" w:rsidP="000D0311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●Removable focus of infection removed promptly, if present</w:t>
      </w:r>
    </w:p>
    <w:p w14:paraId="142B6A29" w14:textId="6F43A123" w:rsidR="000D0311" w:rsidRPr="00AC1593" w:rsidRDefault="000D0311" w:rsidP="004071C4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</w:t>
      </w:r>
      <w:proofErr w:type="spellStart"/>
      <w:r w:rsidRPr="00ED6244">
        <w:rPr>
          <w:rFonts w:eastAsia="Times New Roman" w:cstheme="minorHAnsi"/>
          <w:lang w:val="en-US" w:eastAsia="en-AU"/>
        </w:rPr>
        <w:t>Defervescence</w:t>
      </w:r>
      <w:proofErr w:type="spellEnd"/>
      <w:r w:rsidRPr="00ED6244">
        <w:rPr>
          <w:rFonts w:eastAsia="Times New Roman" w:cstheme="minorHAnsi"/>
          <w:lang w:val="en-US" w:eastAsia="en-AU"/>
        </w:rPr>
        <w:t xml:space="preserve"> within 72 hours of initial positive blood culture</w:t>
      </w:r>
    </w:p>
    <w:p w14:paraId="1089B986" w14:textId="77777777" w:rsidR="004071C4" w:rsidRPr="00ED6244" w:rsidRDefault="004071C4" w:rsidP="004071C4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</w:p>
    <w:p w14:paraId="7537179A" w14:textId="22038380" w:rsidR="00EB149C" w:rsidRPr="00AC1593" w:rsidRDefault="008E4A4E" w:rsidP="00EB149C">
      <w:pPr>
        <w:rPr>
          <w:rFonts w:eastAsia="Times New Roman" w:cstheme="minorHAnsi"/>
          <w:lang w:val="en-US" w:eastAsia="en-AU"/>
        </w:rPr>
      </w:pPr>
      <w:r w:rsidRPr="00AC1593">
        <w:rPr>
          <w:rFonts w:cstheme="minorHAnsi"/>
        </w:rPr>
        <w:t xml:space="preserve">UTD advises that </w:t>
      </w:r>
      <w:r w:rsidR="005F776A" w:rsidRPr="00AC1593">
        <w:rPr>
          <w:rFonts w:cstheme="minorHAnsi"/>
        </w:rPr>
        <w:t>the</w:t>
      </w:r>
      <w:r w:rsidR="00EB149C" w:rsidRPr="00AC1593">
        <w:rPr>
          <w:rFonts w:cstheme="minorHAnsi"/>
        </w:rPr>
        <w:t xml:space="preserve"> </w:t>
      </w:r>
      <w:r w:rsidR="00EB149C" w:rsidRPr="001843F1">
        <w:rPr>
          <w:rFonts w:eastAsia="Times New Roman" w:cstheme="minorHAnsi"/>
          <w:b/>
          <w:lang w:val="en-US" w:eastAsia="en-AU"/>
        </w:rPr>
        <w:t>pursuit of T</w:t>
      </w:r>
      <w:r w:rsidR="002028BA" w:rsidRPr="001843F1">
        <w:rPr>
          <w:rFonts w:eastAsia="Times New Roman" w:cstheme="minorHAnsi"/>
          <w:b/>
          <w:lang w:val="en-US" w:eastAsia="en-AU"/>
        </w:rPr>
        <w:t>O</w:t>
      </w:r>
      <w:r w:rsidR="00EB149C" w:rsidRPr="001843F1">
        <w:rPr>
          <w:rFonts w:eastAsia="Times New Roman" w:cstheme="minorHAnsi"/>
          <w:b/>
          <w:lang w:val="en-US" w:eastAsia="en-AU"/>
        </w:rPr>
        <w:t>E is especially important in the setting of risk factors for IE</w:t>
      </w:r>
      <w:r w:rsidR="00FA25A2" w:rsidRPr="001843F1">
        <w:rPr>
          <w:rFonts w:eastAsia="Times New Roman" w:cstheme="minorHAnsi"/>
          <w:b/>
          <w:lang w:val="en-US" w:eastAsia="en-AU"/>
        </w:rPr>
        <w:t xml:space="preserve">. </w:t>
      </w:r>
      <w:r w:rsidR="00BE53DB" w:rsidRPr="001843F1">
        <w:rPr>
          <w:rFonts w:eastAsia="Times New Roman" w:cstheme="minorHAnsi"/>
          <w:b/>
          <w:lang w:val="en-US" w:eastAsia="en-AU"/>
        </w:rPr>
        <w:t xml:space="preserve"> </w:t>
      </w:r>
      <w:r w:rsidR="00A31549" w:rsidRPr="00AC1593">
        <w:rPr>
          <w:rFonts w:eastAsia="Times New Roman" w:cstheme="minorHAnsi"/>
          <w:lang w:val="en-US" w:eastAsia="en-AU"/>
        </w:rPr>
        <w:t>While TOE in th</w:t>
      </w:r>
      <w:r w:rsidR="003702AB" w:rsidRPr="00AC1593">
        <w:rPr>
          <w:rFonts w:eastAsia="Times New Roman" w:cstheme="minorHAnsi"/>
          <w:lang w:val="en-US" w:eastAsia="en-AU"/>
        </w:rPr>
        <w:t>e following</w:t>
      </w:r>
      <w:r w:rsidR="00A31549" w:rsidRPr="00AC1593">
        <w:rPr>
          <w:rFonts w:eastAsia="Times New Roman" w:cstheme="minorHAnsi"/>
          <w:lang w:val="en-US" w:eastAsia="en-AU"/>
        </w:rPr>
        <w:t xml:space="preserve"> settings is particularly valuable, </w:t>
      </w:r>
      <w:r w:rsidR="001A3573" w:rsidRPr="00AC1593">
        <w:rPr>
          <w:rFonts w:eastAsia="Times New Roman" w:cstheme="minorHAnsi"/>
          <w:lang w:val="en-US" w:eastAsia="en-AU"/>
        </w:rPr>
        <w:t>w</w:t>
      </w:r>
      <w:r w:rsidR="00301EC0" w:rsidRPr="00AC1593">
        <w:rPr>
          <w:rFonts w:eastAsia="Times New Roman" w:cstheme="minorHAnsi"/>
          <w:lang w:val="en-US" w:eastAsia="en-AU"/>
        </w:rPr>
        <w:t xml:space="preserve">orkforce limitations are likely to require </w:t>
      </w:r>
      <w:r w:rsidR="0026548D" w:rsidRPr="00AC1593">
        <w:rPr>
          <w:rFonts w:eastAsia="Times New Roman" w:cstheme="minorHAnsi"/>
          <w:lang w:val="en-US" w:eastAsia="en-AU"/>
        </w:rPr>
        <w:t>consider</w:t>
      </w:r>
      <w:r w:rsidR="005F776A" w:rsidRPr="00AC1593">
        <w:rPr>
          <w:rFonts w:eastAsia="Times New Roman" w:cstheme="minorHAnsi"/>
          <w:lang w:val="en-US" w:eastAsia="en-AU"/>
        </w:rPr>
        <w:t>ation</w:t>
      </w:r>
      <w:r w:rsidR="004D7E73" w:rsidRPr="00AC1593">
        <w:rPr>
          <w:rFonts w:eastAsia="Times New Roman" w:cstheme="minorHAnsi"/>
          <w:lang w:val="en-US" w:eastAsia="en-AU"/>
        </w:rPr>
        <w:t xml:space="preserve"> on a case by case basis</w:t>
      </w:r>
      <w:r w:rsidR="0026548D" w:rsidRPr="00AC1593">
        <w:rPr>
          <w:rFonts w:eastAsia="Times New Roman" w:cstheme="minorHAnsi"/>
          <w:lang w:val="en-US" w:eastAsia="en-AU"/>
        </w:rPr>
        <w:t xml:space="preserve"> according to circumstances at the time</w:t>
      </w:r>
      <w:r w:rsidR="00D208EC" w:rsidRPr="00AC1593">
        <w:rPr>
          <w:rFonts w:eastAsia="Times New Roman" w:cstheme="minorHAnsi"/>
          <w:lang w:val="en-US" w:eastAsia="en-AU"/>
        </w:rPr>
        <w:t>.</w:t>
      </w:r>
    </w:p>
    <w:p w14:paraId="5D916FF8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 xml:space="preserve">●Persistent </w:t>
      </w:r>
      <w:r w:rsidRPr="00ED6244">
        <w:rPr>
          <w:rFonts w:eastAsia="Times New Roman" w:cstheme="minorHAnsi"/>
          <w:i/>
          <w:iCs/>
          <w:lang w:val="en-US" w:eastAsia="en-AU"/>
        </w:rPr>
        <w:t>S. aureus</w:t>
      </w:r>
      <w:r w:rsidRPr="00ED6244">
        <w:rPr>
          <w:rFonts w:eastAsia="Times New Roman" w:cstheme="minorHAnsi"/>
          <w:lang w:val="en-US" w:eastAsia="en-AU"/>
        </w:rPr>
        <w:t xml:space="preserve"> bacteremia despite appropriate antimicrobial therapy</w:t>
      </w:r>
    </w:p>
    <w:p w14:paraId="2F817535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●Unknown duration of bacteremia (</w:t>
      </w:r>
      <w:proofErr w:type="spellStart"/>
      <w:r w:rsidRPr="00ED6244">
        <w:rPr>
          <w:rFonts w:eastAsia="Times New Roman" w:cstheme="minorHAnsi"/>
          <w:lang w:val="en-US" w:eastAsia="en-AU"/>
        </w:rPr>
        <w:t>ie</w:t>
      </w:r>
      <w:proofErr w:type="spellEnd"/>
      <w:r w:rsidRPr="00ED6244">
        <w:rPr>
          <w:rFonts w:eastAsia="Times New Roman" w:cstheme="minorHAnsi"/>
          <w:lang w:val="en-US" w:eastAsia="en-AU"/>
        </w:rPr>
        <w:t>, community-acquired infection)</w:t>
      </w:r>
    </w:p>
    <w:p w14:paraId="147A2C40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●Presence of cardiac prosthetic material</w:t>
      </w:r>
    </w:p>
    <w:p w14:paraId="2E005D5B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●Presence of predisposing valvular abnormality</w:t>
      </w:r>
    </w:p>
    <w:p w14:paraId="5F0A382F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●Absence of evident removable source of bacteremia</w:t>
      </w:r>
    </w:p>
    <w:p w14:paraId="261A51E5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●Hemodialysis dependency</w:t>
      </w:r>
    </w:p>
    <w:p w14:paraId="5AC48A78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●Evidence of infection involving the back (osteomyelitis, discitis, and/or epidural abscess)</w:t>
      </w:r>
    </w:p>
    <w:p w14:paraId="4100F3FD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●Presence of peripheral stigmata for IE</w:t>
      </w:r>
    </w:p>
    <w:p w14:paraId="5C9CF4F2" w14:textId="77777777" w:rsidR="00EB149C" w:rsidRPr="00ED6244" w:rsidRDefault="00EB149C" w:rsidP="00EB149C">
      <w:pPr>
        <w:spacing w:after="0" w:line="336" w:lineRule="auto"/>
        <w:ind w:left="720"/>
        <w:rPr>
          <w:rFonts w:eastAsia="Times New Roman" w:cstheme="minorHAnsi"/>
          <w:lang w:val="en-US" w:eastAsia="en-AU"/>
        </w:rPr>
      </w:pPr>
      <w:r w:rsidRPr="00ED6244">
        <w:rPr>
          <w:rFonts w:eastAsia="Times New Roman" w:cstheme="minorHAnsi"/>
          <w:lang w:val="en-US" w:eastAsia="en-AU"/>
        </w:rPr>
        <w:t>●Intravenous drug use</w:t>
      </w:r>
    </w:p>
    <w:p w14:paraId="10F95849" w14:textId="1C675FB4" w:rsidR="00ED6244" w:rsidRPr="00AC1593" w:rsidRDefault="00ED6244">
      <w:pPr>
        <w:rPr>
          <w:rFonts w:cstheme="minorHAnsi"/>
        </w:rPr>
      </w:pPr>
    </w:p>
    <w:p w14:paraId="44CF45BF" w14:textId="5F738126" w:rsidR="0040259D" w:rsidRPr="00AC1593" w:rsidRDefault="0040259D">
      <w:pPr>
        <w:rPr>
          <w:rFonts w:cstheme="minorHAnsi"/>
        </w:rPr>
      </w:pPr>
    </w:p>
    <w:p w14:paraId="2C7C250F" w14:textId="77777777" w:rsidR="0040259D" w:rsidRPr="00AC1593" w:rsidRDefault="0040259D" w:rsidP="0040259D">
      <w:pPr>
        <w:spacing w:before="216" w:line="336" w:lineRule="auto"/>
        <w:rPr>
          <w:rFonts w:eastAsia="Times New Roman" w:cstheme="minorHAnsi"/>
          <w:lang w:val="en-US" w:eastAsia="en-AU"/>
        </w:rPr>
      </w:pPr>
    </w:p>
    <w:p w14:paraId="31A67037" w14:textId="47E624F7" w:rsidR="0040259D" w:rsidRPr="00AC1593" w:rsidRDefault="006633CD" w:rsidP="0040259D">
      <w:pPr>
        <w:spacing w:after="216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>*Note that according to UTD, p</w:t>
      </w:r>
      <w:r w:rsidR="0040259D" w:rsidRPr="00AC1593">
        <w:rPr>
          <w:rFonts w:eastAsia="Times New Roman" w:cstheme="minorHAnsi"/>
          <w:lang w:val="en-US" w:eastAsia="en-AU"/>
        </w:rPr>
        <w:t xml:space="preserve">atients who meet </w:t>
      </w:r>
      <w:proofErr w:type="gramStart"/>
      <w:r w:rsidR="0040259D" w:rsidRPr="00AC1593">
        <w:rPr>
          <w:rFonts w:eastAsia="Times New Roman" w:cstheme="minorHAnsi"/>
          <w:lang w:val="en-US" w:eastAsia="en-AU"/>
        </w:rPr>
        <w:t>all of</w:t>
      </w:r>
      <w:proofErr w:type="gramEnd"/>
      <w:r w:rsidR="0040259D" w:rsidRPr="00AC1593">
        <w:rPr>
          <w:rFonts w:eastAsia="Times New Roman" w:cstheme="minorHAnsi"/>
          <w:lang w:val="en-US" w:eastAsia="en-AU"/>
        </w:rPr>
        <w:t xml:space="preserve"> the following criteria for uncomplicated S aureus bacteremia can be considered for treatment with 14 days of antimicrobial therapy from the date of the first negative blood culture </w:t>
      </w:r>
    </w:p>
    <w:p w14:paraId="592BB78F" w14:textId="77777777" w:rsidR="0040259D" w:rsidRPr="00AC1593" w:rsidRDefault="0040259D" w:rsidP="0040259D">
      <w:pPr>
        <w:pStyle w:val="ListParagraph"/>
        <w:numPr>
          <w:ilvl w:val="0"/>
          <w:numId w:val="2"/>
        </w:numPr>
        <w:spacing w:after="0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 xml:space="preserve">Infective endocarditis has been excluded via echocardiography. (See </w:t>
      </w:r>
      <w:hyperlink r:id="rId8" w:anchor="H21662716" w:history="1">
        <w:r w:rsidRPr="00AC1593">
          <w:rPr>
            <w:rFonts w:eastAsia="Times New Roman" w:cstheme="minorHAnsi"/>
            <w:color w:val="00905A"/>
            <w:u w:val="single"/>
            <w:lang w:val="en-US" w:eastAsia="en-AU"/>
          </w:rPr>
          <w:t>'Echocardiography'</w:t>
        </w:r>
      </w:hyperlink>
      <w:r w:rsidRPr="00AC1593">
        <w:rPr>
          <w:rFonts w:eastAsia="Times New Roman" w:cstheme="minorHAnsi"/>
          <w:lang w:val="en-US" w:eastAsia="en-AU"/>
        </w:rPr>
        <w:t xml:space="preserve"> above.)</w:t>
      </w:r>
    </w:p>
    <w:p w14:paraId="7D2DD105" w14:textId="77777777" w:rsidR="0040259D" w:rsidRPr="00AC1593" w:rsidRDefault="0040259D" w:rsidP="0040259D">
      <w:pPr>
        <w:pStyle w:val="ListParagraph"/>
        <w:numPr>
          <w:ilvl w:val="0"/>
          <w:numId w:val="2"/>
        </w:numPr>
        <w:spacing w:after="0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>No indwelling devices (such as prosthetic heart valves or vascular grafts) are present.</w:t>
      </w:r>
    </w:p>
    <w:p w14:paraId="61B8B87B" w14:textId="77777777" w:rsidR="0040259D" w:rsidRPr="00AC1593" w:rsidRDefault="0040259D" w:rsidP="0040259D">
      <w:pPr>
        <w:pStyle w:val="ListParagraph"/>
        <w:numPr>
          <w:ilvl w:val="0"/>
          <w:numId w:val="2"/>
        </w:numPr>
        <w:spacing w:after="0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 xml:space="preserve">Follow-up blood cultures drawn two to four days after initiating intravenous </w:t>
      </w:r>
      <w:proofErr w:type="spellStart"/>
      <w:r w:rsidRPr="00AC1593">
        <w:rPr>
          <w:rFonts w:eastAsia="Times New Roman" w:cstheme="minorHAnsi"/>
          <w:lang w:val="en-US" w:eastAsia="en-AU"/>
        </w:rPr>
        <w:t>antistaphylococcal</w:t>
      </w:r>
      <w:proofErr w:type="spellEnd"/>
      <w:r w:rsidRPr="00AC1593">
        <w:rPr>
          <w:rFonts w:eastAsia="Times New Roman" w:cstheme="minorHAnsi"/>
          <w:lang w:val="en-US" w:eastAsia="en-AU"/>
        </w:rPr>
        <w:t xml:space="preserve"> therapy and removing the presumed focus of infection (if present) are negative.</w:t>
      </w:r>
    </w:p>
    <w:p w14:paraId="068A36B5" w14:textId="77777777" w:rsidR="0040259D" w:rsidRPr="00AC1593" w:rsidRDefault="0040259D" w:rsidP="0040259D">
      <w:pPr>
        <w:pStyle w:val="ListParagraph"/>
        <w:numPr>
          <w:ilvl w:val="0"/>
          <w:numId w:val="2"/>
        </w:numPr>
        <w:spacing w:after="0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>have negative surveillance blood cultures within 72 hours after initiation of appropriate antimicrobial therapy</w:t>
      </w:r>
    </w:p>
    <w:p w14:paraId="7F616011" w14:textId="77777777" w:rsidR="0040259D" w:rsidRPr="00AC1593" w:rsidRDefault="0040259D" w:rsidP="0040259D">
      <w:pPr>
        <w:pStyle w:val="ListParagraph"/>
        <w:numPr>
          <w:ilvl w:val="0"/>
          <w:numId w:val="2"/>
        </w:numPr>
        <w:spacing w:after="0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 xml:space="preserve">The patient </w:t>
      </w:r>
      <w:proofErr w:type="spellStart"/>
      <w:r w:rsidRPr="00AC1593">
        <w:rPr>
          <w:rFonts w:eastAsia="Times New Roman" w:cstheme="minorHAnsi"/>
          <w:lang w:val="en-US" w:eastAsia="en-AU"/>
        </w:rPr>
        <w:t>defervesced</w:t>
      </w:r>
      <w:proofErr w:type="spellEnd"/>
      <w:r w:rsidRPr="00AC1593">
        <w:rPr>
          <w:rFonts w:eastAsia="Times New Roman" w:cstheme="minorHAnsi"/>
          <w:lang w:val="en-US" w:eastAsia="en-AU"/>
        </w:rPr>
        <w:t xml:space="preserve"> within 48 to 72 hours after initiating intravenous </w:t>
      </w:r>
      <w:proofErr w:type="spellStart"/>
      <w:r w:rsidRPr="00AC1593">
        <w:rPr>
          <w:rFonts w:eastAsia="Times New Roman" w:cstheme="minorHAnsi"/>
          <w:lang w:val="en-US" w:eastAsia="en-AU"/>
        </w:rPr>
        <w:t>antistaphylococcal</w:t>
      </w:r>
      <w:proofErr w:type="spellEnd"/>
      <w:r w:rsidRPr="00AC1593">
        <w:rPr>
          <w:rFonts w:eastAsia="Times New Roman" w:cstheme="minorHAnsi"/>
          <w:lang w:val="en-US" w:eastAsia="en-AU"/>
        </w:rPr>
        <w:t xml:space="preserve"> therapy and removal of the presumed focus of infection (such as debridement of soft tissue infection or intravascular catheter removal).</w:t>
      </w:r>
    </w:p>
    <w:p w14:paraId="55AF73B8" w14:textId="77777777" w:rsidR="0040259D" w:rsidRPr="00AC1593" w:rsidRDefault="0040259D" w:rsidP="0040259D">
      <w:pPr>
        <w:pStyle w:val="ListParagraph"/>
        <w:numPr>
          <w:ilvl w:val="0"/>
          <w:numId w:val="2"/>
        </w:numPr>
        <w:spacing w:after="0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>There is no evidence of metastatic staphylococcal infection on physical examination.</w:t>
      </w:r>
    </w:p>
    <w:p w14:paraId="46F74A50" w14:textId="77777777" w:rsidR="0040259D" w:rsidRPr="00AC1593" w:rsidRDefault="0040259D" w:rsidP="0040259D">
      <w:pPr>
        <w:pStyle w:val="ListParagraph"/>
        <w:numPr>
          <w:ilvl w:val="0"/>
          <w:numId w:val="1"/>
        </w:numPr>
        <w:spacing w:after="0" w:line="336" w:lineRule="auto"/>
        <w:rPr>
          <w:rFonts w:eastAsia="Times New Roman" w:cstheme="minorHAnsi"/>
          <w:lang w:val="en-US" w:eastAsia="en-AU"/>
        </w:rPr>
      </w:pPr>
      <w:r w:rsidRPr="00AC1593">
        <w:rPr>
          <w:rFonts w:eastAsia="Times New Roman" w:cstheme="minorHAnsi"/>
          <w:lang w:val="en-US" w:eastAsia="en-AU"/>
        </w:rPr>
        <w:t>No signs of systemic staphylococcal infection</w:t>
      </w:r>
    </w:p>
    <w:p w14:paraId="6D2E839E" w14:textId="77777777" w:rsidR="0040259D" w:rsidRDefault="0040259D"/>
    <w:sectPr w:rsidR="0040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7250"/>
    <w:multiLevelType w:val="hybridMultilevel"/>
    <w:tmpl w:val="915260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18786E"/>
    <w:multiLevelType w:val="hybridMultilevel"/>
    <w:tmpl w:val="D09A4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3"/>
    <w:rsid w:val="0001152D"/>
    <w:rsid w:val="00055D6E"/>
    <w:rsid w:val="00062FAB"/>
    <w:rsid w:val="000D0311"/>
    <w:rsid w:val="001449D7"/>
    <w:rsid w:val="001676DD"/>
    <w:rsid w:val="001843F1"/>
    <w:rsid w:val="001903EF"/>
    <w:rsid w:val="00197152"/>
    <w:rsid w:val="001A3573"/>
    <w:rsid w:val="001A7212"/>
    <w:rsid w:val="002028BA"/>
    <w:rsid w:val="00233AB7"/>
    <w:rsid w:val="00241DFF"/>
    <w:rsid w:val="00255BB2"/>
    <w:rsid w:val="0026548D"/>
    <w:rsid w:val="0027533B"/>
    <w:rsid w:val="002771D3"/>
    <w:rsid w:val="00297C9D"/>
    <w:rsid w:val="00301EC0"/>
    <w:rsid w:val="003106EF"/>
    <w:rsid w:val="00333C8F"/>
    <w:rsid w:val="003702AB"/>
    <w:rsid w:val="0040259D"/>
    <w:rsid w:val="0040500C"/>
    <w:rsid w:val="004071C4"/>
    <w:rsid w:val="0040747E"/>
    <w:rsid w:val="00421799"/>
    <w:rsid w:val="0046268E"/>
    <w:rsid w:val="00494BFE"/>
    <w:rsid w:val="004D7E73"/>
    <w:rsid w:val="004E6A02"/>
    <w:rsid w:val="00551D4F"/>
    <w:rsid w:val="00574A74"/>
    <w:rsid w:val="00584D63"/>
    <w:rsid w:val="005B2681"/>
    <w:rsid w:val="005F776A"/>
    <w:rsid w:val="006633CD"/>
    <w:rsid w:val="00673A9C"/>
    <w:rsid w:val="0067529B"/>
    <w:rsid w:val="0069186C"/>
    <w:rsid w:val="006C7AA7"/>
    <w:rsid w:val="0073355A"/>
    <w:rsid w:val="007818E1"/>
    <w:rsid w:val="007A13B9"/>
    <w:rsid w:val="0080703F"/>
    <w:rsid w:val="008637AC"/>
    <w:rsid w:val="00870610"/>
    <w:rsid w:val="008E4A4E"/>
    <w:rsid w:val="008F736D"/>
    <w:rsid w:val="009029DA"/>
    <w:rsid w:val="00932BEC"/>
    <w:rsid w:val="00976B28"/>
    <w:rsid w:val="00986612"/>
    <w:rsid w:val="0098717D"/>
    <w:rsid w:val="009A2E7C"/>
    <w:rsid w:val="009C13F7"/>
    <w:rsid w:val="009C6646"/>
    <w:rsid w:val="00A256C0"/>
    <w:rsid w:val="00A31549"/>
    <w:rsid w:val="00A35C18"/>
    <w:rsid w:val="00A50D0E"/>
    <w:rsid w:val="00A74F61"/>
    <w:rsid w:val="00AA023C"/>
    <w:rsid w:val="00AB7121"/>
    <w:rsid w:val="00AC1593"/>
    <w:rsid w:val="00BE53DB"/>
    <w:rsid w:val="00C57021"/>
    <w:rsid w:val="00C800BE"/>
    <w:rsid w:val="00CE05CA"/>
    <w:rsid w:val="00D208EC"/>
    <w:rsid w:val="00D56E89"/>
    <w:rsid w:val="00D70A07"/>
    <w:rsid w:val="00D852C2"/>
    <w:rsid w:val="00D94DAD"/>
    <w:rsid w:val="00DA3319"/>
    <w:rsid w:val="00DC51E2"/>
    <w:rsid w:val="00E43A85"/>
    <w:rsid w:val="00E77848"/>
    <w:rsid w:val="00EB149C"/>
    <w:rsid w:val="00ED0F57"/>
    <w:rsid w:val="00ED6244"/>
    <w:rsid w:val="00F729ED"/>
    <w:rsid w:val="00FA25A2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8244"/>
  <w15:chartTrackingRefBased/>
  <w15:docId w15:val="{B75F201E-C1FB-4639-8B4A-A298BA0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D6244"/>
    <w:rPr>
      <w:i/>
      <w:iCs/>
    </w:rPr>
  </w:style>
  <w:style w:type="character" w:customStyle="1" w:styleId="glyph7">
    <w:name w:val="glyph7"/>
    <w:basedOn w:val="DefaultParagraphFont"/>
    <w:rsid w:val="00ED6244"/>
    <w:rPr>
      <w:rFonts w:ascii="Times New Roman" w:hAnsi="Times New Roman" w:cs="Times New Roman" w:hint="default"/>
    </w:rPr>
  </w:style>
  <w:style w:type="paragraph" w:customStyle="1" w:styleId="bulletindent12">
    <w:name w:val="bulletindent12"/>
    <w:basedOn w:val="Normal"/>
    <w:rsid w:val="00ED6244"/>
    <w:pPr>
      <w:spacing w:after="0" w:line="336" w:lineRule="auto"/>
      <w:ind w:left="4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0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9769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080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clinical-approach-to-staphylococcus-aureus-bacteremia-in-adults?source=autocomplete&amp;index=0~4&amp;search=staphylococcus%20aure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4A58526F1424D9DE0DF8B9D522352" ma:contentTypeVersion="12" ma:contentTypeDescription="Create a new document." ma:contentTypeScope="" ma:versionID="2ff87332c00ff83a13a12e5d565b2afb">
  <xsd:schema xmlns:xsd="http://www.w3.org/2001/XMLSchema" xmlns:xs="http://www.w3.org/2001/XMLSchema" xmlns:p="http://schemas.microsoft.com/office/2006/metadata/properties" xmlns:ns3="83a911ad-49e8-45e8-b99f-3a1c065cd48b" xmlns:ns4="fbbae380-5d71-44f5-a10d-9cac34002e9f" targetNamespace="http://schemas.microsoft.com/office/2006/metadata/properties" ma:root="true" ma:fieldsID="4cf601b96ad4a3a740f3c692925df404" ns3:_="" ns4:_="">
    <xsd:import namespace="83a911ad-49e8-45e8-b99f-3a1c065cd48b"/>
    <xsd:import namespace="fbbae380-5d71-44f5-a10d-9cac34002e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911ad-49e8-45e8-b99f-3a1c065cd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ae380-5d71-44f5-a10d-9cac34002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C3613-1DB3-475B-92CA-00D70BD83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911ad-49e8-45e8-b99f-3a1c065cd48b"/>
    <ds:schemaRef ds:uri="fbbae380-5d71-44f5-a10d-9cac34002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EF586-FD5C-4EFA-B66A-DDB95A52F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9EDF-2692-49BF-99D7-465F5F1BD9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Oman</dc:creator>
  <cp:keywords/>
  <dc:description/>
  <cp:lastModifiedBy>robert horvath</cp:lastModifiedBy>
  <cp:revision>2</cp:revision>
  <dcterms:created xsi:type="dcterms:W3CDTF">2020-04-02T07:05:00Z</dcterms:created>
  <dcterms:modified xsi:type="dcterms:W3CDTF">2020-04-02T07:05:00Z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0x0101006314A58526F1424D9DE0DF8B9D522352</vt:lpwstr>
  </property>
</Properties>
</file>